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E4C6" w14:textId="655B506F" w:rsidR="00A477D2" w:rsidRPr="00A477D2" w:rsidRDefault="00A477D2" w:rsidP="00A477D2">
      <w:pPr>
        <w:pStyle w:val="Default"/>
        <w:rPr>
          <w:sz w:val="20"/>
          <w:szCs w:val="20"/>
        </w:rPr>
      </w:pPr>
    </w:p>
    <w:p w14:paraId="38FFFFB9" w14:textId="77777777" w:rsidR="00A477D2" w:rsidRPr="00A477D2" w:rsidRDefault="00A477D2" w:rsidP="00A477D2">
      <w:pPr>
        <w:pStyle w:val="Default"/>
        <w:rPr>
          <w:rFonts w:ascii="Roboto Condensed" w:hAnsi="Roboto Condensed"/>
          <w:sz w:val="20"/>
          <w:szCs w:val="20"/>
        </w:rPr>
      </w:pPr>
    </w:p>
    <w:p w14:paraId="27DFA851" w14:textId="205540ED" w:rsidR="00A477D2" w:rsidRPr="0021457D" w:rsidRDefault="00A477D2" w:rsidP="00A477D2">
      <w:pPr>
        <w:pStyle w:val="Default"/>
        <w:rPr>
          <w:rFonts w:ascii="Roboto Condensed" w:hAnsi="Roboto Condensed"/>
          <w:sz w:val="20"/>
          <w:szCs w:val="20"/>
        </w:rPr>
      </w:pPr>
      <w:r w:rsidRPr="0021457D">
        <w:rPr>
          <w:rFonts w:ascii="Roboto Condensed" w:hAnsi="Roboto Condensed"/>
          <w:sz w:val="20"/>
          <w:szCs w:val="20"/>
        </w:rPr>
        <w:t xml:space="preserve"> </w:t>
      </w:r>
    </w:p>
    <w:p w14:paraId="76765602" w14:textId="56D7FD15" w:rsidR="0021457D" w:rsidRPr="0021457D" w:rsidRDefault="0021457D" w:rsidP="0021457D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ArialMT"/>
          <w:b/>
          <w:bCs/>
          <w:sz w:val="48"/>
          <w:szCs w:val="48"/>
        </w:rPr>
      </w:pPr>
      <w:r w:rsidRPr="0021457D">
        <w:rPr>
          <w:rFonts w:ascii="Roboto Condensed" w:hAnsi="Roboto Condensed" w:cs="ArialMT"/>
          <w:b/>
          <w:bCs/>
          <w:sz w:val="48"/>
          <w:szCs w:val="48"/>
        </w:rPr>
        <w:t>CONFLICT MINERALS POLICY</w:t>
      </w:r>
    </w:p>
    <w:p w14:paraId="6EE4BA13" w14:textId="77777777" w:rsidR="0021457D" w:rsidRPr="0021457D" w:rsidRDefault="0021457D" w:rsidP="0021457D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ArialMT"/>
          <w:sz w:val="24"/>
          <w:szCs w:val="24"/>
        </w:rPr>
      </w:pPr>
    </w:p>
    <w:p w14:paraId="0475E0C7" w14:textId="2FB1FC1E" w:rsidR="0021457D" w:rsidRPr="0021457D" w:rsidRDefault="0021457D" w:rsidP="0021457D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ArialMT"/>
          <w:sz w:val="24"/>
          <w:szCs w:val="24"/>
        </w:rPr>
      </w:pPr>
      <w:r w:rsidRPr="0021457D">
        <w:rPr>
          <w:rFonts w:ascii="Roboto Condensed" w:hAnsi="Roboto Condensed" w:cs="ArialMT"/>
          <w:sz w:val="24"/>
          <w:szCs w:val="24"/>
        </w:rPr>
        <w:t>The Securities and Exchange Commission ("SEC") adopted annual disclosure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requirements in connection with the conflict minerals provision of the Dodd-Frank</w:t>
      </w:r>
      <w:r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 xml:space="preserve">Wall Street Reform and </w:t>
      </w:r>
      <w:r>
        <w:rPr>
          <w:rFonts w:ascii="Roboto Condensed" w:hAnsi="Roboto Condensed" w:cs="ArialMT"/>
          <w:sz w:val="24"/>
          <w:szCs w:val="24"/>
        </w:rPr>
        <w:t>C</w:t>
      </w:r>
      <w:r w:rsidRPr="0021457D">
        <w:rPr>
          <w:rFonts w:ascii="Roboto Condensed" w:hAnsi="Roboto Condensed" w:cs="ArialMT"/>
          <w:sz w:val="24"/>
          <w:szCs w:val="24"/>
        </w:rPr>
        <w:t>onsumer Protection Act, requiring publicly traded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companies to disclose whether certain minerals necessary to the functionality or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production of products manufactured or contracted to be manufactured originated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in the Democratic Republic of Congo and its nine neighboring countries (the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"DRC"). These certain minerals referred to as “conflict minerals” include tantalum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(columbite-tantalite), tin (cassiterite), tungsten (wolframite) and gold ("3TGs").</w:t>
      </w:r>
    </w:p>
    <w:p w14:paraId="01018F70" w14:textId="77777777" w:rsidR="0021457D" w:rsidRPr="0021457D" w:rsidRDefault="0021457D" w:rsidP="0021457D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ArialMT"/>
          <w:sz w:val="24"/>
          <w:szCs w:val="24"/>
        </w:rPr>
      </w:pPr>
    </w:p>
    <w:p w14:paraId="43EE7E6C" w14:textId="575BCD6F" w:rsidR="00A477D2" w:rsidRPr="0021457D" w:rsidRDefault="0021457D" w:rsidP="0021457D">
      <w:pPr>
        <w:autoSpaceDE w:val="0"/>
        <w:autoSpaceDN w:val="0"/>
        <w:adjustRightInd w:val="0"/>
        <w:spacing w:after="0" w:line="240" w:lineRule="auto"/>
        <w:rPr>
          <w:rFonts w:ascii="Roboto Condensed" w:hAnsi="Roboto Condensed"/>
          <w:sz w:val="20"/>
          <w:szCs w:val="20"/>
        </w:rPr>
      </w:pPr>
      <w:r w:rsidRPr="0021457D">
        <w:rPr>
          <w:rFonts w:ascii="Roboto Condensed" w:hAnsi="Roboto Condensed" w:cs="ArialMT"/>
          <w:sz w:val="24"/>
          <w:szCs w:val="24"/>
        </w:rPr>
        <w:t>Milpower Source supports the humanitarian goal of ending the violence and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human rights violations in the DRC, which are believed to have been partially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financed by the exploitation and trade of conflict minerals. Milpower Source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strives to have a conflict-free supply chain and is committed to working with its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suppliers to increase transparency regarding the origin of minerals contained in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its products. Milpower Source requires its suppliers to undertake reasonable due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diligence with their suppliers to identify whether any of the products supplied to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Milpower Source contain 3TGs sourced from the DRC and, if so, whether the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mines and smelters identified are certified as "conflict free" by an independent</w:t>
      </w:r>
      <w:r w:rsidRPr="0021457D">
        <w:rPr>
          <w:rFonts w:ascii="Roboto Condensed" w:hAnsi="Roboto Condensed" w:cs="ArialMT"/>
          <w:sz w:val="24"/>
          <w:szCs w:val="24"/>
        </w:rPr>
        <w:t xml:space="preserve"> </w:t>
      </w:r>
      <w:r w:rsidRPr="0021457D">
        <w:rPr>
          <w:rFonts w:ascii="Roboto Condensed" w:hAnsi="Roboto Condensed" w:cs="ArialMT"/>
          <w:sz w:val="24"/>
          <w:szCs w:val="24"/>
        </w:rPr>
        <w:t>third party.</w:t>
      </w:r>
    </w:p>
    <w:p w14:paraId="1CF0236B" w14:textId="77777777" w:rsidR="00A477D2" w:rsidRPr="00A477D2" w:rsidRDefault="00A477D2" w:rsidP="00A477D2">
      <w:pPr>
        <w:pStyle w:val="Default"/>
        <w:rPr>
          <w:rFonts w:ascii="Roboto Condensed" w:hAnsi="Roboto Condensed"/>
          <w:sz w:val="20"/>
          <w:szCs w:val="20"/>
        </w:rPr>
      </w:pPr>
    </w:p>
    <w:p w14:paraId="70AE2645" w14:textId="77777777" w:rsidR="00A477D2" w:rsidRPr="00A477D2" w:rsidRDefault="00A477D2" w:rsidP="00A477D2">
      <w:pPr>
        <w:pStyle w:val="Default"/>
        <w:ind w:left="720"/>
        <w:rPr>
          <w:rFonts w:ascii="Roboto Condensed" w:hAnsi="Roboto Condensed"/>
          <w:sz w:val="20"/>
          <w:szCs w:val="20"/>
        </w:rPr>
      </w:pPr>
      <w:bookmarkStart w:id="0" w:name="_GoBack"/>
      <w:bookmarkEnd w:id="0"/>
    </w:p>
    <w:sectPr w:rsidR="00A477D2" w:rsidRPr="00A477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4E45" w14:textId="77777777" w:rsidR="00A477D2" w:rsidRDefault="00A477D2" w:rsidP="00A477D2">
      <w:pPr>
        <w:spacing w:after="0" w:line="240" w:lineRule="auto"/>
      </w:pPr>
      <w:r>
        <w:separator/>
      </w:r>
    </w:p>
  </w:endnote>
  <w:endnote w:type="continuationSeparator" w:id="0">
    <w:p w14:paraId="7D698DDF" w14:textId="77777777" w:rsidR="00A477D2" w:rsidRDefault="00A477D2" w:rsidP="00A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B187" w14:textId="010CFCB9" w:rsidR="00A477D2" w:rsidRDefault="00A477D2">
    <w:pPr>
      <w:pStyle w:val="Foo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333D" wp14:editId="4C3ACBED">
              <wp:simplePos x="0" y="0"/>
              <wp:positionH relativeFrom="margin">
                <wp:align>right</wp:align>
              </wp:positionH>
              <wp:positionV relativeFrom="page">
                <wp:posOffset>9503596</wp:posOffset>
              </wp:positionV>
              <wp:extent cx="5938463" cy="552024"/>
              <wp:effectExtent l="0" t="0" r="5715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463" cy="55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A2639" w14:textId="5CBD635B" w:rsidR="00A477D2" w:rsidRPr="00A477D2" w:rsidRDefault="00A477D2" w:rsidP="00A477D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Milpower Source, Inc. • Belmont, NH, USA  • P: (603) 267-8865 • </w:t>
                          </w:r>
                          <w:hyperlink r:id="rId1" w:history="1">
                            <w:r w:rsidRPr="00A477D2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sales@milpower.com</w:t>
                            </w:r>
                          </w:hyperlink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• </w:t>
                          </w:r>
                          <w:hyperlink r:id="rId2" w:history="1">
                            <w:r w:rsidRPr="00A477D2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www.milpower.com</w:t>
                            </w:r>
                          </w:hyperlink>
                        </w:p>
                        <w:tbl>
                          <w:tblPr>
                            <w:tblW w:w="4963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3420"/>
                            <w:gridCol w:w="1797"/>
                            <w:gridCol w:w="2488"/>
                            <w:gridCol w:w="1592"/>
                          </w:tblGrid>
                          <w:tr w:rsidR="00A477D2" w:rsidRPr="00A477D2" w14:paraId="27313FBE" w14:textId="77777777" w:rsidTr="00A477D2">
                            <w:trPr>
                              <w:trHeight w:val="283"/>
                            </w:trPr>
                            <w:tc>
                              <w:tcPr>
                                <w:tcW w:w="1839" w:type="pct"/>
                                <w:shd w:val="clear" w:color="auto" w:fill="auto"/>
                                <w:vAlign w:val="center"/>
                              </w:tcPr>
                              <w:p w14:paraId="57D9261B" w14:textId="0EECFCA3" w:rsidR="00A477D2" w:rsidRPr="00A477D2" w:rsidRDefault="00A477D2" w:rsidP="00A477D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         File Name: </w:t>
                                </w:r>
                                <w:r w:rsidR="00AE223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Conf-Min</w:t>
                                </w: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-Policy-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REV-A-</w:t>
                                </w: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MS.PDF</w:t>
                                </w:r>
                              </w:p>
                            </w:tc>
                            <w:tc>
                              <w:tcPr>
                                <w:tcW w:w="966" w:type="pct"/>
                                <w:shd w:val="clear" w:color="auto" w:fill="auto"/>
                                <w:vAlign w:val="center"/>
                              </w:tcPr>
                              <w:p w14:paraId="4097CC00" w14:textId="77777777" w:rsidR="00A477D2" w:rsidRPr="00A477D2" w:rsidRDefault="00A477D2" w:rsidP="00A477D2">
                                <w:pPr>
                                  <w:pStyle w:val="Footer"/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Rev </w:t>
                                </w:r>
                                <w:r w:rsidRPr="009A3CE8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338" w:type="pct"/>
                                <w:shd w:val="clear" w:color="auto" w:fill="auto"/>
                                <w:vAlign w:val="center"/>
                              </w:tcPr>
                              <w:p w14:paraId="1A79EEF3" w14:textId="44509166" w:rsidR="00A477D2" w:rsidRPr="00A477D2" w:rsidRDefault="00A477D2" w:rsidP="00A477D2">
                                <w:pPr>
                                  <w:pStyle w:val="Foo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     Date:</w:t>
                                </w:r>
                                <w:r w:rsidR="00AE223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24 March 2020</w:t>
                                </w:r>
                              </w:p>
                            </w:tc>
                            <w:tc>
                              <w:tcPr>
                                <w:tcW w:w="856" w:type="pct"/>
                                <w:shd w:val="clear" w:color="auto" w:fill="auto"/>
                                <w:vAlign w:val="center"/>
                              </w:tcPr>
                              <w:p w14:paraId="52D096AD" w14:textId="77777777" w:rsidR="00A477D2" w:rsidRPr="00A477D2" w:rsidRDefault="00A477D2" w:rsidP="00A477D2">
                                <w:pPr>
                                  <w:pStyle w:val="Foo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A477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 xml:space="preserve"> NUMPAGES  \* Arabic  \* MERGEFORMAT </w:instrTex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477D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477D2" w:rsidRPr="00A477D2" w14:paraId="6700066B" w14:textId="77777777" w:rsidTr="00A477D2">
                            <w:trPr>
                              <w:trHeight w:val="283"/>
                            </w:trPr>
                            <w:tc>
                              <w:tcPr>
                                <w:tcW w:w="1839" w:type="pct"/>
                                <w:shd w:val="clear" w:color="auto" w:fill="auto"/>
                                <w:vAlign w:val="center"/>
                              </w:tcPr>
                              <w:p w14:paraId="75A4949D" w14:textId="77777777" w:rsidR="00A477D2" w:rsidRPr="00A477D2" w:rsidRDefault="00A477D2" w:rsidP="00A477D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6" w:type="pct"/>
                                <w:shd w:val="clear" w:color="auto" w:fill="auto"/>
                                <w:vAlign w:val="center"/>
                              </w:tcPr>
                              <w:p w14:paraId="45E633DC" w14:textId="77777777" w:rsidR="00A477D2" w:rsidRPr="00A477D2" w:rsidRDefault="00A477D2" w:rsidP="00A477D2">
                                <w:pPr>
                                  <w:pStyle w:val="Footer"/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38" w:type="pct"/>
                                <w:shd w:val="clear" w:color="auto" w:fill="auto"/>
                                <w:vAlign w:val="center"/>
                              </w:tcPr>
                              <w:p w14:paraId="2B605D42" w14:textId="77777777" w:rsidR="00A477D2" w:rsidRPr="00A477D2" w:rsidRDefault="00A477D2" w:rsidP="00A477D2">
                                <w:pPr>
                                  <w:pStyle w:val="Foo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6" w:type="pct"/>
                                <w:shd w:val="clear" w:color="auto" w:fill="auto"/>
                                <w:vAlign w:val="center"/>
                              </w:tcPr>
                              <w:p w14:paraId="2AE67AC1" w14:textId="77777777" w:rsidR="00A477D2" w:rsidRPr="00A477D2" w:rsidRDefault="00A477D2" w:rsidP="00A477D2">
                                <w:pPr>
                                  <w:pStyle w:val="Foo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7672E26" w14:textId="77777777" w:rsidR="00A477D2" w:rsidRPr="00A477D2" w:rsidRDefault="00A477D2" w:rsidP="00A477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C621E47" w14:textId="77777777" w:rsidR="00A477D2" w:rsidRPr="00A477D2" w:rsidRDefault="00A477D2" w:rsidP="00A477D2">
                          <w:pPr>
                            <w:pStyle w:val="BodyText"/>
                            <w:ind w:left="487" w:right="48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3065A8" w14:textId="77777777" w:rsidR="00A477D2" w:rsidRPr="00A477D2" w:rsidRDefault="00A477D2" w:rsidP="00A477D2">
                          <w:pPr>
                            <w:pStyle w:val="BodyText"/>
                            <w:ind w:left="487" w:right="487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33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6.4pt;margin-top:748.3pt;width:467.6pt;height:43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" filled="f" stroked="f">
              <v:textbox inset="0,0,0,0">
                <w:txbxContent>
                  <w:p w14:paraId="3E3A2639" w14:textId="5CBD635B" w:rsidR="00A477D2" w:rsidRPr="00A477D2" w:rsidRDefault="00A477D2" w:rsidP="00A477D2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477D2">
                      <w:rPr>
                        <w:rFonts w:cstheme="minorHAnsi"/>
                        <w:sz w:val="16"/>
                        <w:szCs w:val="16"/>
                      </w:rPr>
                      <w:t xml:space="preserve">Milpower Source, Inc. • Belmont, NH, USA  • P: (603) 267-8865 • </w:t>
                    </w:r>
                    <w:hyperlink r:id="rId3" w:history="1">
                      <w:r w:rsidRPr="00A477D2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sales@milpower.com</w:t>
                      </w:r>
                    </w:hyperlink>
                    <w:r w:rsidRPr="00A477D2">
                      <w:rPr>
                        <w:rFonts w:cstheme="minorHAnsi"/>
                        <w:sz w:val="16"/>
                        <w:szCs w:val="16"/>
                      </w:rPr>
                      <w:t xml:space="preserve"> • </w:t>
                    </w:r>
                    <w:hyperlink r:id="rId4" w:history="1">
                      <w:r w:rsidRPr="00A477D2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www.milpower.com</w:t>
                      </w:r>
                    </w:hyperlink>
                  </w:p>
                  <w:tbl>
                    <w:tblPr>
                      <w:tblW w:w="4963" w:type="pct"/>
                      <w:tblLook w:val="04A0" w:firstRow="1" w:lastRow="0" w:firstColumn="1" w:lastColumn="0" w:noHBand="0" w:noVBand="1"/>
                    </w:tblPr>
                    <w:tblGrid>
                      <w:gridCol w:w="3420"/>
                      <w:gridCol w:w="1797"/>
                      <w:gridCol w:w="2488"/>
                      <w:gridCol w:w="1592"/>
                    </w:tblGrid>
                    <w:tr w:rsidR="00A477D2" w:rsidRPr="00A477D2" w14:paraId="27313FBE" w14:textId="77777777" w:rsidTr="00A477D2">
                      <w:trPr>
                        <w:trHeight w:val="283"/>
                      </w:trPr>
                      <w:tc>
                        <w:tcPr>
                          <w:tcW w:w="1839" w:type="pct"/>
                          <w:shd w:val="clear" w:color="auto" w:fill="auto"/>
                          <w:vAlign w:val="center"/>
                        </w:tcPr>
                        <w:p w14:paraId="57D9261B" w14:textId="0EECFCA3" w:rsidR="00A477D2" w:rsidRPr="00A477D2" w:rsidRDefault="00A477D2" w:rsidP="00A477D2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        File Name: </w:t>
                          </w:r>
                          <w:r w:rsidR="00AE2233">
                            <w:rPr>
                              <w:rFonts w:cstheme="minorHAnsi"/>
                              <w:sz w:val="16"/>
                              <w:szCs w:val="16"/>
                            </w:rPr>
                            <w:t>Conf-Min</w:t>
                          </w: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>-Policy-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REV-A-</w:t>
                          </w: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>MS.PDF</w:t>
                          </w:r>
                        </w:p>
                      </w:tc>
                      <w:tc>
                        <w:tcPr>
                          <w:tcW w:w="966" w:type="pct"/>
                          <w:shd w:val="clear" w:color="auto" w:fill="auto"/>
                          <w:vAlign w:val="center"/>
                        </w:tcPr>
                        <w:p w14:paraId="4097CC00" w14:textId="77777777" w:rsidR="00A477D2" w:rsidRPr="00A477D2" w:rsidRDefault="00A477D2" w:rsidP="00A477D2">
                          <w:pPr>
                            <w:pStyle w:val="Footer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Rev </w:t>
                          </w:r>
                          <w:r w:rsidRPr="009A3CE8">
                            <w:rPr>
                              <w:rFonts w:cstheme="minorHAnsi"/>
                              <w:sz w:val="16"/>
                              <w:szCs w:val="16"/>
                            </w:rPr>
                            <w:t>A</w:t>
                          </w:r>
                        </w:p>
                      </w:tc>
                      <w:tc>
                        <w:tcPr>
                          <w:tcW w:w="1338" w:type="pct"/>
                          <w:shd w:val="clear" w:color="auto" w:fill="auto"/>
                          <w:vAlign w:val="center"/>
                        </w:tcPr>
                        <w:p w14:paraId="1A79EEF3" w14:textId="44509166" w:rsidR="00A477D2" w:rsidRPr="00A477D2" w:rsidRDefault="00A477D2" w:rsidP="00A477D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    Date:</w:t>
                          </w:r>
                          <w:r w:rsidR="00AE223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24 March 2020</w:t>
                          </w:r>
                        </w:p>
                      </w:tc>
                      <w:tc>
                        <w:tcPr>
                          <w:tcW w:w="856" w:type="pct"/>
                          <w:shd w:val="clear" w:color="auto" w:fill="auto"/>
                          <w:vAlign w:val="center"/>
                        </w:tcPr>
                        <w:p w14:paraId="52D096AD" w14:textId="77777777" w:rsidR="00A477D2" w:rsidRPr="00A477D2" w:rsidRDefault="00A477D2" w:rsidP="00A477D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477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477D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A477D2" w:rsidRPr="00A477D2" w14:paraId="6700066B" w14:textId="77777777" w:rsidTr="00A477D2">
                      <w:trPr>
                        <w:trHeight w:val="283"/>
                      </w:trPr>
                      <w:tc>
                        <w:tcPr>
                          <w:tcW w:w="1839" w:type="pct"/>
                          <w:shd w:val="clear" w:color="auto" w:fill="auto"/>
                          <w:vAlign w:val="center"/>
                        </w:tcPr>
                        <w:p w14:paraId="75A4949D" w14:textId="77777777" w:rsidR="00A477D2" w:rsidRPr="00A477D2" w:rsidRDefault="00A477D2" w:rsidP="00A477D2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66" w:type="pct"/>
                          <w:shd w:val="clear" w:color="auto" w:fill="auto"/>
                          <w:vAlign w:val="center"/>
                        </w:tcPr>
                        <w:p w14:paraId="45E633DC" w14:textId="77777777" w:rsidR="00A477D2" w:rsidRPr="00A477D2" w:rsidRDefault="00A477D2" w:rsidP="00A477D2">
                          <w:pPr>
                            <w:pStyle w:val="Footer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338" w:type="pct"/>
                          <w:shd w:val="clear" w:color="auto" w:fill="auto"/>
                          <w:vAlign w:val="center"/>
                        </w:tcPr>
                        <w:p w14:paraId="2B605D42" w14:textId="77777777" w:rsidR="00A477D2" w:rsidRPr="00A477D2" w:rsidRDefault="00A477D2" w:rsidP="00A477D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6" w:type="pct"/>
                          <w:shd w:val="clear" w:color="auto" w:fill="auto"/>
                          <w:vAlign w:val="center"/>
                        </w:tcPr>
                        <w:p w14:paraId="2AE67AC1" w14:textId="77777777" w:rsidR="00A477D2" w:rsidRPr="00A477D2" w:rsidRDefault="00A477D2" w:rsidP="00A477D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7672E26" w14:textId="77777777" w:rsidR="00A477D2" w:rsidRPr="00A477D2" w:rsidRDefault="00A477D2" w:rsidP="00A477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3C621E47" w14:textId="77777777" w:rsidR="00A477D2" w:rsidRPr="00A477D2" w:rsidRDefault="00A477D2" w:rsidP="00A477D2">
                    <w:pPr>
                      <w:pStyle w:val="BodyText"/>
                      <w:ind w:left="487" w:right="487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B3065A8" w14:textId="77777777" w:rsidR="00A477D2" w:rsidRPr="00A477D2" w:rsidRDefault="00A477D2" w:rsidP="00A477D2">
                    <w:pPr>
                      <w:pStyle w:val="BodyText"/>
                      <w:ind w:left="487" w:right="487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8979" w14:textId="77777777" w:rsidR="00A477D2" w:rsidRDefault="00A477D2" w:rsidP="00A477D2">
      <w:pPr>
        <w:spacing w:after="0" w:line="240" w:lineRule="auto"/>
      </w:pPr>
      <w:r>
        <w:separator/>
      </w:r>
    </w:p>
  </w:footnote>
  <w:footnote w:type="continuationSeparator" w:id="0">
    <w:p w14:paraId="1E10450B" w14:textId="77777777" w:rsidR="00A477D2" w:rsidRDefault="00A477D2" w:rsidP="00A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0920" w14:textId="732AA864" w:rsidR="00A477D2" w:rsidRDefault="00A477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781CA0" wp14:editId="468AEA15">
              <wp:simplePos x="0" y="0"/>
              <wp:positionH relativeFrom="column">
                <wp:posOffset>-914400</wp:posOffset>
              </wp:positionH>
              <wp:positionV relativeFrom="paragraph">
                <wp:posOffset>-144145</wp:posOffset>
              </wp:positionV>
              <wp:extent cx="7746365" cy="862965"/>
              <wp:effectExtent l="0" t="0" r="26035" b="133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6365" cy="86296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29E08" id="Rectangle 1" o:spid="_x0000_s1026" style="position:absolute;margin-left:-1in;margin-top:-11.35pt;width:609.95pt;height:6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" fillcolor="#069" strokecolor="#1f3763 [1604]" strokeweight="1pt"/>
          </w:pict>
        </mc:Fallback>
      </mc:AlternateContent>
    </w:r>
    <w:r>
      <w:rPr>
        <w:rFonts w:ascii="Roboto Condensed" w:hAnsi="Roboto Condensed"/>
        <w:noProof/>
      </w:rPr>
      <w:drawing>
        <wp:anchor distT="0" distB="0" distL="114300" distR="114300" simplePos="0" relativeHeight="251666432" behindDoc="0" locked="0" layoutInCell="1" allowOverlap="1" wp14:anchorId="791D5E89" wp14:editId="113AF62B">
          <wp:simplePos x="0" y="0"/>
          <wp:positionH relativeFrom="margin">
            <wp:posOffset>0</wp:posOffset>
          </wp:positionH>
          <wp:positionV relativeFrom="paragraph">
            <wp:posOffset>-91768</wp:posOffset>
          </wp:positionV>
          <wp:extent cx="2084803" cy="7808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03" cy="78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7D2">
      <w:rPr>
        <w:rFonts w:ascii="Roboto Condensed" w:hAnsi="Roboto Condensed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7BFBD5" wp14:editId="1FF687A3">
              <wp:simplePos x="0" y="0"/>
              <wp:positionH relativeFrom="column">
                <wp:posOffset>3071973</wp:posOffset>
              </wp:positionH>
              <wp:positionV relativeFrom="paragraph">
                <wp:posOffset>-67217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2F7E0" w14:textId="77777777" w:rsidR="00A477D2" w:rsidRDefault="00A477D2" w:rsidP="00A477D2">
                          <w:r>
                            <w:t>WARRANTY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7BFBD5" id="_x0000_s1027" type="#_x0000_t202" style="position:absolute;margin-left:241.9pt;margin-top:-5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OD41bfAAAACwEAAA8AAABkcnMvZG93bnJldi54&#10;bWxMj0FvgzAMhe+T9h8iT9qtDWUtQgxTVWi7Vmo7aVeXZEBLHEYCZf9+6Wm72c9P733Ot7PpxKQH&#10;11pGWC0jEJorq1quET5O74sUhPPEijrLGuFHO9gWjw85Zcre+KCno69FCGGXEULjfZ9J6apGG3JL&#10;22sOty87GPJhHWqpBrqFcNPJOIoSaajl0NBQr8tGV9fjaBDGU7mbDmV8+Zz2ar1P3shQ9434/DTv&#10;XkF4Pfs/M9zxAzoUgelsR1ZOdAjr9CWge4TFKkpABEe62YThjBDfFVnk8v8PxS8A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44PjVt8AAAALAQAADwAAAAAAAAAAAAAAAACCBAAAZHJz&#10;L2Rvd25yZXYueG1sUEsFBgAAAAAEAAQA8wAAAI4FAAAAAA==&#10;">
              <v:textbox style="mso-fit-shape-to-text:t">
                <w:txbxContent>
                  <w:p w14:paraId="0E02F7E0" w14:textId="77777777" w:rsidR="00A477D2" w:rsidRDefault="00A477D2" w:rsidP="00A477D2">
                    <w:r>
                      <w:t>WARRANTY STATEMENT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08C"/>
    <w:multiLevelType w:val="hybridMultilevel"/>
    <w:tmpl w:val="56FC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5AC0"/>
    <w:multiLevelType w:val="hybridMultilevel"/>
    <w:tmpl w:val="DF660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2"/>
    <w:rsid w:val="0021457D"/>
    <w:rsid w:val="009A3CE8"/>
    <w:rsid w:val="00A477D2"/>
    <w:rsid w:val="00A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AF42A"/>
  <w15:chartTrackingRefBased/>
  <w15:docId w15:val="{8CF471FC-4788-4FC3-B562-877ABA0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2"/>
  </w:style>
  <w:style w:type="paragraph" w:styleId="Footer">
    <w:name w:val="footer"/>
    <w:basedOn w:val="Normal"/>
    <w:link w:val="FooterChar"/>
    <w:unhideWhenUsed/>
    <w:rsid w:val="00A4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7D2"/>
  </w:style>
  <w:style w:type="paragraph" w:styleId="BodyText">
    <w:name w:val="Body Text"/>
    <w:basedOn w:val="Normal"/>
    <w:link w:val="BodyTextChar"/>
    <w:uiPriority w:val="1"/>
    <w:qFormat/>
    <w:rsid w:val="00A477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7D2"/>
    <w:rPr>
      <w:rFonts w:ascii="Calibri" w:eastAsia="Calibri" w:hAnsi="Calibri" w:cs="Calibri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47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milpower.com" TargetMode="External"/><Relationship Id="rId2" Type="http://schemas.openxmlformats.org/officeDocument/2006/relationships/hyperlink" Target="http://www.milpower.com" TargetMode="External"/><Relationship Id="rId1" Type="http://schemas.openxmlformats.org/officeDocument/2006/relationships/hyperlink" Target="mailto:sales@milpower.com" TargetMode="External"/><Relationship Id="rId4" Type="http://schemas.openxmlformats.org/officeDocument/2006/relationships/hyperlink" Target="http://www.mil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Eyre</dc:creator>
  <cp:keywords/>
  <dc:description/>
  <cp:lastModifiedBy>Mike Eyre</cp:lastModifiedBy>
  <cp:revision>2</cp:revision>
  <dcterms:created xsi:type="dcterms:W3CDTF">2020-03-24T18:48:00Z</dcterms:created>
  <dcterms:modified xsi:type="dcterms:W3CDTF">2020-03-24T18:48:00Z</dcterms:modified>
</cp:coreProperties>
</file>